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312652" w:rsidRDefault="00C14984">
      <w:pPr>
        <w:rPr>
          <w:rFonts w:ascii="Arial" w:hAnsi="Arial" w:cs="Arial"/>
          <w:sz w:val="28"/>
          <w:szCs w:val="36"/>
          <w:u w:val="single"/>
        </w:rPr>
      </w:pPr>
      <w:r w:rsidRPr="00312652">
        <w:rPr>
          <w:rFonts w:ascii="Arial" w:hAnsi="Arial" w:cs="Arial"/>
          <w:sz w:val="28"/>
          <w:szCs w:val="36"/>
          <w:u w:val="single"/>
        </w:rPr>
        <w:t>When to Use a Nurse Case Manager</w:t>
      </w:r>
    </w:p>
    <w:p w:rsidR="00C14984" w:rsidRDefault="00B85D1B" w:rsidP="00B85D1B">
      <w:pPr>
        <w:jc w:val="both"/>
        <w:rPr>
          <w:rFonts w:ascii="Arial" w:hAnsi="Arial" w:cs="Arial"/>
          <w:sz w:val="24"/>
          <w:szCs w:val="24"/>
        </w:rPr>
      </w:pPr>
      <w:r w:rsidRPr="00605BC0">
        <w:rPr>
          <w:rFonts w:ascii="Arial" w:hAnsi="Arial" w:cs="Arial"/>
          <w:b/>
          <w:sz w:val="24"/>
          <w:szCs w:val="24"/>
        </w:rPr>
        <w:t>A high percentage</w:t>
      </w:r>
      <w:r>
        <w:rPr>
          <w:rFonts w:ascii="Arial" w:hAnsi="Arial" w:cs="Arial"/>
          <w:sz w:val="24"/>
          <w:szCs w:val="24"/>
        </w:rPr>
        <w:t xml:space="preserve"> of self-insured employers and insurers make the mistake of allowing the adjuster to use his or her </w:t>
      </w:r>
      <w:r w:rsidR="00605BC0">
        <w:rPr>
          <w:rFonts w:ascii="Arial" w:hAnsi="Arial" w:cs="Arial"/>
          <w:sz w:val="24"/>
          <w:szCs w:val="24"/>
        </w:rPr>
        <w:t xml:space="preserve">own </w:t>
      </w:r>
      <w:r>
        <w:rPr>
          <w:rFonts w:ascii="Arial" w:hAnsi="Arial" w:cs="Arial"/>
          <w:sz w:val="24"/>
          <w:szCs w:val="24"/>
        </w:rPr>
        <w:t>discretion on when to use a nurse case manager on a claim.  This often res</w:t>
      </w:r>
      <w:bookmarkStart w:id="0" w:name="_GoBack"/>
      <w:bookmarkEnd w:id="0"/>
      <w:r>
        <w:rPr>
          <w:rFonts w:ascii="Arial" w:hAnsi="Arial" w:cs="Arial"/>
          <w:sz w:val="24"/>
          <w:szCs w:val="24"/>
        </w:rPr>
        <w:t xml:space="preserve">ults in the medical cost and medical treatment getting out of control because the nurse case manager is not brought into the claim timely.  Studies by </w:t>
      </w:r>
      <w:proofErr w:type="spellStart"/>
      <w:r>
        <w:rPr>
          <w:rFonts w:ascii="Arial" w:hAnsi="Arial" w:cs="Arial"/>
          <w:sz w:val="24"/>
          <w:szCs w:val="24"/>
        </w:rPr>
        <w:t>Broadspire</w:t>
      </w:r>
      <w:proofErr w:type="spellEnd"/>
      <w:r>
        <w:rPr>
          <w:rFonts w:ascii="Arial" w:hAnsi="Arial" w:cs="Arial"/>
          <w:sz w:val="24"/>
          <w:szCs w:val="24"/>
        </w:rPr>
        <w:t xml:space="preserve"> and other medical management companies have shown the return on investment </w:t>
      </w:r>
      <w:r w:rsidR="00605BC0">
        <w:rPr>
          <w:rFonts w:ascii="Arial" w:hAnsi="Arial" w:cs="Arial"/>
          <w:sz w:val="24"/>
          <w:szCs w:val="24"/>
        </w:rPr>
        <w:t xml:space="preserve">of a nurse case manager </w:t>
      </w:r>
      <w:r>
        <w:rPr>
          <w:rFonts w:ascii="Arial" w:hAnsi="Arial" w:cs="Arial"/>
          <w:sz w:val="24"/>
          <w:szCs w:val="24"/>
        </w:rPr>
        <w:t xml:space="preserve">to be anywhere from 3 to 1 to 20 to 1.  </w:t>
      </w:r>
    </w:p>
    <w:p w:rsidR="00B85D1B" w:rsidRDefault="00B85D1B" w:rsidP="00B85D1B">
      <w:pPr>
        <w:jc w:val="both"/>
        <w:rPr>
          <w:rFonts w:ascii="Arial" w:hAnsi="Arial" w:cs="Arial"/>
          <w:sz w:val="24"/>
          <w:szCs w:val="24"/>
        </w:rPr>
      </w:pPr>
      <w:r w:rsidRPr="00605BC0">
        <w:rPr>
          <w:rFonts w:ascii="Arial" w:hAnsi="Arial" w:cs="Arial"/>
          <w:b/>
          <w:sz w:val="24"/>
          <w:szCs w:val="24"/>
        </w:rPr>
        <w:t>Instead of allowing the adjuster</w:t>
      </w:r>
      <w:r>
        <w:rPr>
          <w:rFonts w:ascii="Arial" w:hAnsi="Arial" w:cs="Arial"/>
          <w:sz w:val="24"/>
          <w:szCs w:val="24"/>
        </w:rPr>
        <w:t xml:space="preserve"> discretion on when to utilize a nurse case manager (the adjuster is normally late in making the decision to use a nurse case manager), it is better to set specific guidelines on which claim files should have a nurse case manager assigned.</w:t>
      </w:r>
    </w:p>
    <w:p w:rsidR="00605BC0" w:rsidRDefault="00605BC0" w:rsidP="00B85D1B">
      <w:pPr>
        <w:jc w:val="both"/>
        <w:rPr>
          <w:rFonts w:ascii="Arial" w:hAnsi="Arial" w:cs="Arial"/>
          <w:sz w:val="24"/>
          <w:szCs w:val="24"/>
        </w:rPr>
      </w:pPr>
      <w:r w:rsidRPr="00605BC0">
        <w:rPr>
          <w:rFonts w:ascii="Arial" w:hAnsi="Arial" w:cs="Arial"/>
          <w:b/>
          <w:sz w:val="24"/>
          <w:szCs w:val="24"/>
        </w:rPr>
        <w:t>There are two types</w:t>
      </w:r>
      <w:r>
        <w:rPr>
          <w:rFonts w:ascii="Arial" w:hAnsi="Arial" w:cs="Arial"/>
          <w:sz w:val="24"/>
          <w:szCs w:val="24"/>
        </w:rPr>
        <w:t xml:space="preserve"> of nurse case managers.  The nurse case manager who works from an office and handles all of the work by telephone, email, fax and regular mail is normally referred to as a telephonic case manager or TCM.  The nurse case manager who works in the field, meeting in person with the injured employee and the medical provider(s) is referred to as a field case manager or FCM.</w:t>
      </w:r>
    </w:p>
    <w:p w:rsidR="00B85D1B" w:rsidRDefault="00E541A3" w:rsidP="00B85D1B">
      <w:pPr>
        <w:jc w:val="both"/>
        <w:rPr>
          <w:rFonts w:ascii="Arial" w:hAnsi="Arial" w:cs="Arial"/>
          <w:sz w:val="24"/>
          <w:szCs w:val="24"/>
        </w:rPr>
      </w:pPr>
      <w:r w:rsidRPr="00605BC0">
        <w:rPr>
          <w:rFonts w:ascii="Arial" w:hAnsi="Arial" w:cs="Arial"/>
          <w:b/>
          <w:sz w:val="24"/>
          <w:szCs w:val="24"/>
        </w:rPr>
        <w:t>Common criteria</w:t>
      </w:r>
      <w:r>
        <w:rPr>
          <w:rFonts w:ascii="Arial" w:hAnsi="Arial" w:cs="Arial"/>
          <w:sz w:val="24"/>
          <w:szCs w:val="24"/>
        </w:rPr>
        <w:t xml:space="preserve"> used to designate or trigger the use of a nurse case manager </w:t>
      </w:r>
      <w:proofErr w:type="gramStart"/>
      <w:r>
        <w:rPr>
          <w:rFonts w:ascii="Arial" w:hAnsi="Arial" w:cs="Arial"/>
          <w:sz w:val="24"/>
          <w:szCs w:val="24"/>
        </w:rPr>
        <w:t>includes</w:t>
      </w:r>
      <w:proofErr w:type="gramEnd"/>
      <w:r>
        <w:rPr>
          <w:rFonts w:ascii="Arial" w:hAnsi="Arial" w:cs="Arial"/>
          <w:sz w:val="24"/>
          <w:szCs w:val="24"/>
        </w:rPr>
        <w:t>:</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Immediate hospitalization after an accident</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Amputations</w:t>
      </w:r>
      <w:r w:rsidR="00605BC0">
        <w:rPr>
          <w:rFonts w:ascii="Arial" w:hAnsi="Arial" w:cs="Arial"/>
          <w:sz w:val="24"/>
          <w:szCs w:val="24"/>
        </w:rPr>
        <w:t xml:space="preserve"> of fingers or toe</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Second degree burns</w:t>
      </w:r>
      <w:r w:rsidR="00605BC0">
        <w:rPr>
          <w:rFonts w:ascii="Arial" w:hAnsi="Arial" w:cs="Arial"/>
          <w:sz w:val="24"/>
          <w:szCs w:val="24"/>
        </w:rPr>
        <w:t xml:space="preserve"> over a limited skin area</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 xml:space="preserve">Electrocution </w:t>
      </w:r>
    </w:p>
    <w:p w:rsidR="00E541A3" w:rsidRP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Concussions</w:t>
      </w:r>
    </w:p>
    <w:p w:rsidR="00E541A3" w:rsidRDefault="00605BC0" w:rsidP="00E541A3">
      <w:pPr>
        <w:pStyle w:val="ListParagraph"/>
        <w:numPr>
          <w:ilvl w:val="0"/>
          <w:numId w:val="2"/>
        </w:numPr>
        <w:jc w:val="both"/>
        <w:rPr>
          <w:rFonts w:ascii="Arial" w:hAnsi="Arial" w:cs="Arial"/>
          <w:sz w:val="24"/>
          <w:szCs w:val="24"/>
        </w:rPr>
      </w:pPr>
      <w:r>
        <w:rPr>
          <w:rFonts w:ascii="Arial" w:hAnsi="Arial" w:cs="Arial"/>
          <w:sz w:val="24"/>
          <w:szCs w:val="24"/>
        </w:rPr>
        <w:t>Vision impairment</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Immediate loss of hearing</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Heart attack on the job (if the claim is compensable)</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Stroke on the job (if the claim is compensable)</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Rotator cuff or other shoulder injuries</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Meniscus or other knee injuries</w:t>
      </w:r>
    </w:p>
    <w:p w:rsidR="00605BC0" w:rsidRDefault="00605BC0" w:rsidP="00E541A3">
      <w:pPr>
        <w:pStyle w:val="ListParagraph"/>
        <w:numPr>
          <w:ilvl w:val="0"/>
          <w:numId w:val="2"/>
        </w:numPr>
        <w:jc w:val="both"/>
        <w:rPr>
          <w:rFonts w:ascii="Arial" w:hAnsi="Arial" w:cs="Arial"/>
          <w:sz w:val="24"/>
          <w:szCs w:val="24"/>
        </w:rPr>
      </w:pPr>
      <w:r>
        <w:rPr>
          <w:rFonts w:ascii="Arial" w:hAnsi="Arial" w:cs="Arial"/>
          <w:sz w:val="24"/>
          <w:szCs w:val="24"/>
        </w:rPr>
        <w:t>Ankle sprains</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Back injury claims</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Neck injury claims</w:t>
      </w:r>
    </w:p>
    <w:p w:rsidR="00605BC0" w:rsidRDefault="00605BC0" w:rsidP="00E541A3">
      <w:pPr>
        <w:pStyle w:val="ListParagraph"/>
        <w:numPr>
          <w:ilvl w:val="0"/>
          <w:numId w:val="2"/>
        </w:numPr>
        <w:jc w:val="both"/>
        <w:rPr>
          <w:rFonts w:ascii="Arial" w:hAnsi="Arial" w:cs="Arial"/>
          <w:sz w:val="24"/>
          <w:szCs w:val="24"/>
        </w:rPr>
      </w:pPr>
      <w:r>
        <w:rPr>
          <w:rFonts w:ascii="Arial" w:hAnsi="Arial" w:cs="Arial"/>
          <w:sz w:val="24"/>
          <w:szCs w:val="24"/>
        </w:rPr>
        <w:t>Joint dislocation</w:t>
      </w:r>
    </w:p>
    <w:p w:rsidR="00605BC0" w:rsidRDefault="00605BC0" w:rsidP="00E541A3">
      <w:pPr>
        <w:pStyle w:val="ListParagraph"/>
        <w:numPr>
          <w:ilvl w:val="0"/>
          <w:numId w:val="2"/>
        </w:numPr>
        <w:jc w:val="both"/>
        <w:rPr>
          <w:rFonts w:ascii="Arial" w:hAnsi="Arial" w:cs="Arial"/>
          <w:sz w:val="24"/>
          <w:szCs w:val="24"/>
        </w:rPr>
      </w:pPr>
      <w:r>
        <w:rPr>
          <w:rFonts w:ascii="Arial" w:hAnsi="Arial" w:cs="Arial"/>
          <w:sz w:val="24"/>
          <w:szCs w:val="24"/>
        </w:rPr>
        <w:t>Carpal tunnel syndrome</w:t>
      </w:r>
    </w:p>
    <w:p w:rsidR="00605BC0" w:rsidRDefault="00605BC0" w:rsidP="00E541A3">
      <w:pPr>
        <w:pStyle w:val="ListParagraph"/>
        <w:numPr>
          <w:ilvl w:val="0"/>
          <w:numId w:val="2"/>
        </w:numPr>
        <w:jc w:val="both"/>
        <w:rPr>
          <w:rFonts w:ascii="Arial" w:hAnsi="Arial" w:cs="Arial"/>
          <w:sz w:val="24"/>
          <w:szCs w:val="24"/>
        </w:rPr>
      </w:pPr>
      <w:r>
        <w:rPr>
          <w:rFonts w:ascii="Arial" w:hAnsi="Arial" w:cs="Arial"/>
          <w:sz w:val="24"/>
          <w:szCs w:val="24"/>
        </w:rPr>
        <w:lastRenderedPageBreak/>
        <w:t xml:space="preserve">Tendonitis </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Fractures that require time off work</w:t>
      </w:r>
    </w:p>
    <w:p w:rsidR="00E541A3" w:rsidRDefault="00E541A3" w:rsidP="00E541A3">
      <w:pPr>
        <w:pStyle w:val="ListParagraph"/>
        <w:numPr>
          <w:ilvl w:val="0"/>
          <w:numId w:val="2"/>
        </w:numPr>
        <w:jc w:val="both"/>
        <w:rPr>
          <w:rFonts w:ascii="Arial" w:hAnsi="Arial" w:cs="Arial"/>
          <w:sz w:val="24"/>
          <w:szCs w:val="24"/>
        </w:rPr>
      </w:pPr>
      <w:r>
        <w:rPr>
          <w:rFonts w:ascii="Arial" w:hAnsi="Arial" w:cs="Arial"/>
          <w:sz w:val="24"/>
          <w:szCs w:val="24"/>
        </w:rPr>
        <w:t>Hernias</w:t>
      </w:r>
    </w:p>
    <w:p w:rsidR="00E541A3" w:rsidRDefault="00605BC0" w:rsidP="00E541A3">
      <w:pPr>
        <w:pStyle w:val="ListParagraph"/>
        <w:numPr>
          <w:ilvl w:val="0"/>
          <w:numId w:val="2"/>
        </w:numPr>
        <w:jc w:val="both"/>
        <w:rPr>
          <w:rFonts w:ascii="Arial" w:hAnsi="Arial" w:cs="Arial"/>
          <w:sz w:val="24"/>
          <w:szCs w:val="24"/>
        </w:rPr>
      </w:pPr>
      <w:r>
        <w:rPr>
          <w:rFonts w:ascii="Arial" w:hAnsi="Arial" w:cs="Arial"/>
          <w:sz w:val="24"/>
          <w:szCs w:val="24"/>
        </w:rPr>
        <w:t>Asbestosis, pneumoconiosis and other occupational lung diseases</w:t>
      </w:r>
    </w:p>
    <w:p w:rsidR="00605BC0" w:rsidRDefault="00605BC0" w:rsidP="00E541A3">
      <w:pPr>
        <w:pStyle w:val="ListParagraph"/>
        <w:numPr>
          <w:ilvl w:val="0"/>
          <w:numId w:val="2"/>
        </w:numPr>
        <w:jc w:val="both"/>
        <w:rPr>
          <w:rFonts w:ascii="Arial" w:hAnsi="Arial" w:cs="Arial"/>
          <w:sz w:val="24"/>
          <w:szCs w:val="24"/>
        </w:rPr>
      </w:pPr>
      <w:r>
        <w:rPr>
          <w:rFonts w:ascii="Arial" w:hAnsi="Arial" w:cs="Arial"/>
          <w:sz w:val="24"/>
          <w:szCs w:val="24"/>
        </w:rPr>
        <w:t>Occupational skin diseases caused by chemical exposure</w:t>
      </w:r>
    </w:p>
    <w:p w:rsidR="00605BC0" w:rsidRDefault="00605BC0" w:rsidP="00605BC0">
      <w:pPr>
        <w:pStyle w:val="ListParagraph"/>
        <w:ind w:left="1440"/>
        <w:jc w:val="both"/>
        <w:rPr>
          <w:rFonts w:ascii="Arial" w:hAnsi="Arial" w:cs="Arial"/>
          <w:sz w:val="24"/>
          <w:szCs w:val="24"/>
        </w:rPr>
      </w:pPr>
    </w:p>
    <w:p w:rsidR="00605BC0" w:rsidRDefault="00605BC0" w:rsidP="00605BC0">
      <w:pPr>
        <w:pStyle w:val="ListParagraph"/>
        <w:ind w:left="0"/>
        <w:jc w:val="both"/>
        <w:rPr>
          <w:rFonts w:ascii="Arial" w:hAnsi="Arial" w:cs="Arial"/>
          <w:sz w:val="24"/>
          <w:szCs w:val="24"/>
        </w:rPr>
      </w:pPr>
      <w:r w:rsidRPr="00605BC0">
        <w:rPr>
          <w:rFonts w:ascii="Arial" w:hAnsi="Arial" w:cs="Arial"/>
          <w:b/>
          <w:sz w:val="24"/>
          <w:szCs w:val="24"/>
        </w:rPr>
        <w:t xml:space="preserve">While either a NCM or a FCM </w:t>
      </w:r>
      <w:r>
        <w:rPr>
          <w:rFonts w:ascii="Arial" w:hAnsi="Arial" w:cs="Arial"/>
          <w:sz w:val="24"/>
          <w:szCs w:val="24"/>
        </w:rPr>
        <w:t>can provide case management services on the above types of claims, there are some situations where it is better to have a FCM involved in the case management.  This includes:</w:t>
      </w:r>
    </w:p>
    <w:p w:rsidR="00605BC0" w:rsidRDefault="00605BC0" w:rsidP="00605BC0">
      <w:pPr>
        <w:pStyle w:val="ListParagraph"/>
        <w:ind w:left="0"/>
        <w:jc w:val="both"/>
        <w:rPr>
          <w:rFonts w:ascii="Arial" w:hAnsi="Arial" w:cs="Arial"/>
          <w:sz w:val="24"/>
          <w:szCs w:val="24"/>
        </w:rPr>
      </w:pPr>
    </w:p>
    <w:p w:rsidR="00605BC0" w:rsidRDefault="00605BC0" w:rsidP="00605BC0">
      <w:pPr>
        <w:pStyle w:val="ListParagraph"/>
        <w:numPr>
          <w:ilvl w:val="0"/>
          <w:numId w:val="5"/>
        </w:numPr>
        <w:jc w:val="both"/>
        <w:rPr>
          <w:rFonts w:ascii="Arial" w:hAnsi="Arial" w:cs="Arial"/>
          <w:sz w:val="24"/>
          <w:szCs w:val="24"/>
        </w:rPr>
      </w:pPr>
      <w:r>
        <w:rPr>
          <w:rFonts w:ascii="Arial" w:hAnsi="Arial" w:cs="Arial"/>
          <w:sz w:val="24"/>
          <w:szCs w:val="24"/>
        </w:rPr>
        <w:t>Attendance at independent medical examinations</w:t>
      </w:r>
    </w:p>
    <w:p w:rsidR="00605BC0" w:rsidRDefault="00605BC0" w:rsidP="00605BC0">
      <w:pPr>
        <w:pStyle w:val="ListParagraph"/>
        <w:numPr>
          <w:ilvl w:val="0"/>
          <w:numId w:val="5"/>
        </w:numPr>
        <w:jc w:val="both"/>
        <w:rPr>
          <w:rFonts w:ascii="Arial" w:hAnsi="Arial" w:cs="Arial"/>
          <w:sz w:val="24"/>
          <w:szCs w:val="24"/>
        </w:rPr>
      </w:pPr>
      <w:r>
        <w:rPr>
          <w:rFonts w:ascii="Arial" w:hAnsi="Arial" w:cs="Arial"/>
          <w:sz w:val="24"/>
          <w:szCs w:val="24"/>
        </w:rPr>
        <w:t>Attendance at doctor appointments</w:t>
      </w:r>
    </w:p>
    <w:p w:rsidR="00605BC0" w:rsidRDefault="00605BC0" w:rsidP="00605BC0">
      <w:pPr>
        <w:pStyle w:val="ListParagraph"/>
        <w:numPr>
          <w:ilvl w:val="0"/>
          <w:numId w:val="5"/>
        </w:numPr>
        <w:jc w:val="both"/>
        <w:rPr>
          <w:rFonts w:ascii="Arial" w:hAnsi="Arial" w:cs="Arial"/>
          <w:sz w:val="24"/>
          <w:szCs w:val="24"/>
        </w:rPr>
      </w:pPr>
      <w:r>
        <w:rPr>
          <w:rFonts w:ascii="Arial" w:hAnsi="Arial" w:cs="Arial"/>
          <w:sz w:val="24"/>
          <w:szCs w:val="24"/>
        </w:rPr>
        <w:t>When the employee has been referred by the initial medical provider to a specialist</w:t>
      </w:r>
    </w:p>
    <w:p w:rsidR="00605BC0" w:rsidRDefault="00605BC0" w:rsidP="00605BC0">
      <w:pPr>
        <w:pStyle w:val="ListParagraph"/>
        <w:numPr>
          <w:ilvl w:val="0"/>
          <w:numId w:val="5"/>
        </w:numPr>
        <w:jc w:val="both"/>
        <w:rPr>
          <w:rFonts w:ascii="Arial" w:hAnsi="Arial" w:cs="Arial"/>
          <w:sz w:val="24"/>
          <w:szCs w:val="24"/>
        </w:rPr>
      </w:pPr>
      <w:r>
        <w:rPr>
          <w:rFonts w:ascii="Arial" w:hAnsi="Arial" w:cs="Arial"/>
          <w:sz w:val="24"/>
          <w:szCs w:val="24"/>
        </w:rPr>
        <w:t>Brain and brain stem injuries</w:t>
      </w:r>
    </w:p>
    <w:p w:rsidR="00605BC0" w:rsidRDefault="00605BC0" w:rsidP="00605BC0">
      <w:pPr>
        <w:pStyle w:val="ListParagraph"/>
        <w:numPr>
          <w:ilvl w:val="0"/>
          <w:numId w:val="5"/>
        </w:numPr>
        <w:jc w:val="both"/>
        <w:rPr>
          <w:rFonts w:ascii="Arial" w:hAnsi="Arial" w:cs="Arial"/>
          <w:sz w:val="24"/>
          <w:szCs w:val="24"/>
        </w:rPr>
      </w:pPr>
      <w:r>
        <w:rPr>
          <w:rFonts w:ascii="Arial" w:hAnsi="Arial" w:cs="Arial"/>
          <w:sz w:val="24"/>
          <w:szCs w:val="24"/>
        </w:rPr>
        <w:t xml:space="preserve">Catastrophic injuries </w:t>
      </w:r>
    </w:p>
    <w:p w:rsidR="00605BC0" w:rsidRDefault="00605BC0" w:rsidP="00605BC0">
      <w:pPr>
        <w:pStyle w:val="ListParagraph"/>
        <w:numPr>
          <w:ilvl w:val="1"/>
          <w:numId w:val="5"/>
        </w:numPr>
        <w:jc w:val="both"/>
        <w:rPr>
          <w:rFonts w:ascii="Arial" w:hAnsi="Arial" w:cs="Arial"/>
          <w:sz w:val="24"/>
          <w:szCs w:val="24"/>
        </w:rPr>
      </w:pPr>
      <w:r>
        <w:rPr>
          <w:rFonts w:ascii="Arial" w:hAnsi="Arial" w:cs="Arial"/>
          <w:sz w:val="24"/>
          <w:szCs w:val="24"/>
        </w:rPr>
        <w:t>Spinal cord damaged or severed</w:t>
      </w:r>
    </w:p>
    <w:p w:rsidR="00605BC0" w:rsidRDefault="00605BC0" w:rsidP="00605BC0">
      <w:pPr>
        <w:pStyle w:val="ListParagraph"/>
        <w:numPr>
          <w:ilvl w:val="1"/>
          <w:numId w:val="5"/>
        </w:numPr>
        <w:jc w:val="both"/>
        <w:rPr>
          <w:rFonts w:ascii="Arial" w:hAnsi="Arial" w:cs="Arial"/>
          <w:sz w:val="24"/>
          <w:szCs w:val="24"/>
        </w:rPr>
      </w:pPr>
      <w:r>
        <w:rPr>
          <w:rFonts w:ascii="Arial" w:hAnsi="Arial" w:cs="Arial"/>
          <w:sz w:val="24"/>
          <w:szCs w:val="24"/>
        </w:rPr>
        <w:t>Amputation of hand, arm, foot, leg</w:t>
      </w:r>
    </w:p>
    <w:p w:rsidR="00605BC0" w:rsidRDefault="00605BC0" w:rsidP="00605BC0">
      <w:pPr>
        <w:pStyle w:val="ListParagraph"/>
        <w:numPr>
          <w:ilvl w:val="1"/>
          <w:numId w:val="5"/>
        </w:numPr>
        <w:jc w:val="both"/>
        <w:rPr>
          <w:rFonts w:ascii="Arial" w:hAnsi="Arial" w:cs="Arial"/>
          <w:sz w:val="24"/>
          <w:szCs w:val="24"/>
        </w:rPr>
      </w:pPr>
      <w:r>
        <w:rPr>
          <w:rFonts w:ascii="Arial" w:hAnsi="Arial" w:cs="Arial"/>
          <w:sz w:val="24"/>
          <w:szCs w:val="24"/>
        </w:rPr>
        <w:t>Third degree burns or burns over 25% or more of the body</w:t>
      </w:r>
    </w:p>
    <w:p w:rsidR="00605BC0" w:rsidRDefault="00605BC0" w:rsidP="00605BC0">
      <w:pPr>
        <w:pStyle w:val="ListParagraph"/>
        <w:numPr>
          <w:ilvl w:val="1"/>
          <w:numId w:val="5"/>
        </w:numPr>
        <w:jc w:val="both"/>
        <w:rPr>
          <w:rFonts w:ascii="Arial" w:hAnsi="Arial" w:cs="Arial"/>
          <w:sz w:val="24"/>
          <w:szCs w:val="24"/>
        </w:rPr>
      </w:pPr>
      <w:r>
        <w:rPr>
          <w:rFonts w:ascii="Arial" w:hAnsi="Arial" w:cs="Arial"/>
          <w:sz w:val="24"/>
          <w:szCs w:val="24"/>
        </w:rPr>
        <w:t>Total loss of vision</w:t>
      </w:r>
    </w:p>
    <w:p w:rsidR="00605BC0" w:rsidRDefault="00605BC0" w:rsidP="00605BC0">
      <w:pPr>
        <w:pStyle w:val="ListParagraph"/>
        <w:numPr>
          <w:ilvl w:val="1"/>
          <w:numId w:val="5"/>
        </w:numPr>
        <w:jc w:val="both"/>
        <w:rPr>
          <w:rFonts w:ascii="Arial" w:hAnsi="Arial" w:cs="Arial"/>
          <w:sz w:val="24"/>
          <w:szCs w:val="24"/>
        </w:rPr>
      </w:pPr>
      <w:r>
        <w:rPr>
          <w:rFonts w:ascii="Arial" w:hAnsi="Arial" w:cs="Arial"/>
          <w:sz w:val="24"/>
          <w:szCs w:val="24"/>
        </w:rPr>
        <w:t>Multiple amputations</w:t>
      </w:r>
    </w:p>
    <w:p w:rsidR="00605BC0" w:rsidRDefault="00605BC0" w:rsidP="00605BC0">
      <w:pPr>
        <w:pStyle w:val="ListParagraph"/>
        <w:numPr>
          <w:ilvl w:val="0"/>
          <w:numId w:val="5"/>
        </w:numPr>
        <w:jc w:val="both"/>
        <w:rPr>
          <w:rFonts w:ascii="Arial" w:hAnsi="Arial" w:cs="Arial"/>
          <w:sz w:val="24"/>
          <w:szCs w:val="24"/>
        </w:rPr>
      </w:pPr>
      <w:r>
        <w:rPr>
          <w:rFonts w:ascii="Arial" w:hAnsi="Arial" w:cs="Arial"/>
          <w:sz w:val="24"/>
          <w:szCs w:val="24"/>
        </w:rPr>
        <w:t>Multiple traumas from the accident</w:t>
      </w:r>
    </w:p>
    <w:p w:rsidR="00605BC0" w:rsidRDefault="00605BC0" w:rsidP="00605BC0">
      <w:pPr>
        <w:pStyle w:val="ListParagraph"/>
        <w:numPr>
          <w:ilvl w:val="0"/>
          <w:numId w:val="5"/>
        </w:numPr>
        <w:jc w:val="both"/>
        <w:rPr>
          <w:rFonts w:ascii="Arial" w:hAnsi="Arial" w:cs="Arial"/>
          <w:sz w:val="24"/>
          <w:szCs w:val="24"/>
        </w:rPr>
      </w:pPr>
      <w:r>
        <w:rPr>
          <w:rFonts w:ascii="Arial" w:hAnsi="Arial" w:cs="Arial"/>
          <w:sz w:val="24"/>
          <w:szCs w:val="24"/>
        </w:rPr>
        <w:t>Narcotic addictions</w:t>
      </w:r>
    </w:p>
    <w:p w:rsidR="00605BC0" w:rsidRDefault="00605BC0" w:rsidP="00605BC0">
      <w:pPr>
        <w:pStyle w:val="ListParagraph"/>
        <w:numPr>
          <w:ilvl w:val="0"/>
          <w:numId w:val="5"/>
        </w:numPr>
        <w:jc w:val="both"/>
        <w:rPr>
          <w:rFonts w:ascii="Arial" w:hAnsi="Arial" w:cs="Arial"/>
          <w:sz w:val="24"/>
          <w:szCs w:val="24"/>
        </w:rPr>
      </w:pPr>
      <w:r>
        <w:rPr>
          <w:rFonts w:ascii="Arial" w:hAnsi="Arial" w:cs="Arial"/>
          <w:sz w:val="24"/>
          <w:szCs w:val="24"/>
        </w:rPr>
        <w:t>Employee’s failure to improve medically during the course of treatment</w:t>
      </w:r>
    </w:p>
    <w:p w:rsidR="00605BC0" w:rsidRDefault="00605BC0" w:rsidP="00605BC0">
      <w:pPr>
        <w:pStyle w:val="ListParagraph"/>
        <w:numPr>
          <w:ilvl w:val="0"/>
          <w:numId w:val="5"/>
        </w:numPr>
        <w:jc w:val="both"/>
        <w:rPr>
          <w:rFonts w:ascii="Arial" w:hAnsi="Arial" w:cs="Arial"/>
          <w:sz w:val="24"/>
          <w:szCs w:val="24"/>
        </w:rPr>
      </w:pPr>
      <w:r>
        <w:rPr>
          <w:rFonts w:ascii="Arial" w:hAnsi="Arial" w:cs="Arial"/>
          <w:sz w:val="24"/>
          <w:szCs w:val="24"/>
        </w:rPr>
        <w:t>Suspected improper course of treatment of inadequate treatment</w:t>
      </w:r>
    </w:p>
    <w:p w:rsidR="00605BC0" w:rsidRDefault="00605BC0" w:rsidP="00605BC0">
      <w:pPr>
        <w:pStyle w:val="ListParagraph"/>
        <w:numPr>
          <w:ilvl w:val="0"/>
          <w:numId w:val="5"/>
        </w:numPr>
        <w:jc w:val="both"/>
        <w:rPr>
          <w:rFonts w:ascii="Arial" w:hAnsi="Arial" w:cs="Arial"/>
          <w:sz w:val="24"/>
          <w:szCs w:val="24"/>
        </w:rPr>
      </w:pPr>
      <w:r>
        <w:rPr>
          <w:rFonts w:ascii="Arial" w:hAnsi="Arial" w:cs="Arial"/>
          <w:sz w:val="24"/>
          <w:szCs w:val="24"/>
        </w:rPr>
        <w:t>Employee non-compliant with doctor’s instructions</w:t>
      </w:r>
    </w:p>
    <w:p w:rsidR="00605BC0" w:rsidRDefault="00605BC0" w:rsidP="00605BC0">
      <w:pPr>
        <w:pStyle w:val="ListParagraph"/>
        <w:numPr>
          <w:ilvl w:val="0"/>
          <w:numId w:val="5"/>
        </w:numPr>
        <w:jc w:val="both"/>
        <w:rPr>
          <w:rFonts w:ascii="Arial" w:hAnsi="Arial" w:cs="Arial"/>
          <w:sz w:val="24"/>
          <w:szCs w:val="24"/>
        </w:rPr>
      </w:pPr>
      <w:r>
        <w:rPr>
          <w:rFonts w:ascii="Arial" w:hAnsi="Arial" w:cs="Arial"/>
          <w:sz w:val="24"/>
          <w:szCs w:val="24"/>
        </w:rPr>
        <w:t>Employee missing medical appointments</w:t>
      </w:r>
    </w:p>
    <w:p w:rsidR="00605BC0" w:rsidRDefault="00605BC0" w:rsidP="00605BC0">
      <w:pPr>
        <w:jc w:val="both"/>
        <w:rPr>
          <w:rFonts w:ascii="Arial" w:hAnsi="Arial" w:cs="Arial"/>
          <w:sz w:val="24"/>
          <w:szCs w:val="24"/>
        </w:rPr>
      </w:pPr>
      <w:r w:rsidRPr="00605BC0">
        <w:rPr>
          <w:rFonts w:ascii="Arial" w:hAnsi="Arial" w:cs="Arial"/>
          <w:b/>
          <w:sz w:val="24"/>
          <w:szCs w:val="24"/>
        </w:rPr>
        <w:t>As the benefit</w:t>
      </w:r>
      <w:r>
        <w:rPr>
          <w:rFonts w:ascii="Arial" w:hAnsi="Arial" w:cs="Arial"/>
          <w:sz w:val="24"/>
          <w:szCs w:val="24"/>
        </w:rPr>
        <w:t xml:space="preserve"> of medical case management is well established, some self-insured employers and insurers are taking the decision on whether or not to use a nurse case manager out of the adjuster’s hands, and mandating when medical case management will be used.  When the insurer or self-insured employer takes this approach, they will either assign a nurse case manager to all indemnity claims, or have the medical case management company review all reported workers’ compensation claims and select those where the TCM or the FCM can make a difference.</w:t>
      </w:r>
    </w:p>
    <w:p w:rsidR="00605BC0" w:rsidRPr="00605BC0" w:rsidRDefault="00605BC0" w:rsidP="00605BC0">
      <w:pPr>
        <w:jc w:val="both"/>
        <w:rPr>
          <w:rFonts w:ascii="Arial" w:hAnsi="Arial" w:cs="Arial"/>
          <w:sz w:val="24"/>
          <w:szCs w:val="24"/>
        </w:rPr>
      </w:pPr>
      <w:r w:rsidRPr="00605BC0">
        <w:rPr>
          <w:rFonts w:ascii="Arial" w:hAnsi="Arial" w:cs="Arial"/>
          <w:b/>
          <w:sz w:val="24"/>
          <w:szCs w:val="24"/>
        </w:rPr>
        <w:t>We recommend</w:t>
      </w:r>
      <w:r>
        <w:rPr>
          <w:rFonts w:ascii="Arial" w:hAnsi="Arial" w:cs="Arial"/>
          <w:sz w:val="24"/>
          <w:szCs w:val="24"/>
        </w:rPr>
        <w:t xml:space="preserve"> medical case management on any claim where the injured employee meets any of the medical treatment guidelines outlined above.  For </w:t>
      </w:r>
      <w:r>
        <w:rPr>
          <w:rFonts w:ascii="Arial" w:hAnsi="Arial" w:cs="Arial"/>
          <w:sz w:val="24"/>
          <w:szCs w:val="24"/>
        </w:rPr>
        <w:lastRenderedPageBreak/>
        <w:t>assistance with when to use a nurse case manager, or when to decide between using a TCM or a FCM, please contact us.</w:t>
      </w:r>
    </w:p>
    <w:p w:rsidR="00B85D1B" w:rsidRPr="00C14984" w:rsidRDefault="00B85D1B" w:rsidP="00B85D1B">
      <w:pPr>
        <w:jc w:val="both"/>
        <w:rPr>
          <w:rFonts w:ascii="Arial" w:hAnsi="Arial" w:cs="Arial"/>
          <w:sz w:val="24"/>
          <w:szCs w:val="24"/>
        </w:rPr>
      </w:pPr>
    </w:p>
    <w:sectPr w:rsidR="00B85D1B" w:rsidRPr="00C14984"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5E42"/>
    <w:multiLevelType w:val="hybridMultilevel"/>
    <w:tmpl w:val="C5D6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666A7"/>
    <w:multiLevelType w:val="hybridMultilevel"/>
    <w:tmpl w:val="CBA4E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E345FE"/>
    <w:multiLevelType w:val="hybridMultilevel"/>
    <w:tmpl w:val="E216E5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1997DC4"/>
    <w:multiLevelType w:val="hybridMultilevel"/>
    <w:tmpl w:val="518CE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C6224B"/>
    <w:multiLevelType w:val="multilevel"/>
    <w:tmpl w:val="4DC87FC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84"/>
    <w:rsid w:val="000A29A4"/>
    <w:rsid w:val="00312652"/>
    <w:rsid w:val="00605BC0"/>
    <w:rsid w:val="00995921"/>
    <w:rsid w:val="00A35BCF"/>
    <w:rsid w:val="00B85D1B"/>
    <w:rsid w:val="00C14984"/>
    <w:rsid w:val="00E541A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97E9C9-4C54-47B1-A924-9573BAB2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2013-05-27T21:34:00Z</dcterms:created>
  <dcterms:modified xsi:type="dcterms:W3CDTF">2015-04-28T02:49:00Z</dcterms:modified>
</cp:coreProperties>
</file>